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4"/>
      </w:tblGrid>
      <w:tr w:rsidR="00F25EB6" w:rsidRPr="00F25EB6" w14:paraId="17D7536D" w14:textId="77777777" w:rsidTr="008467C8">
        <w:tc>
          <w:tcPr>
            <w:tcW w:w="9924" w:type="dxa"/>
          </w:tcPr>
          <w:p w14:paraId="73261A99" w14:textId="6CD3DDC3" w:rsidR="00F25EB6" w:rsidRPr="00F25EB6" w:rsidRDefault="00F25EB6">
            <w:pPr>
              <w:rPr>
                <w:rFonts w:ascii="Arial" w:hAnsi="Arial" w:cs="Arial"/>
              </w:rPr>
            </w:pPr>
            <w:r w:rsidRPr="00F25EB6">
              <w:rPr>
                <w:rFonts w:ascii="Arial" w:hAnsi="Arial" w:cs="Arial"/>
              </w:rPr>
              <w:t xml:space="preserve">  </w:t>
            </w:r>
            <w:r w:rsidRPr="00F25EB6">
              <w:rPr>
                <w:rFonts w:ascii="Arial" w:hAnsi="Arial" w:cs="Arial"/>
                <w:noProof/>
                <w:lang w:eastAsia="fr-FR"/>
              </w:rPr>
              <w:drawing>
                <wp:inline distT="0" distB="0" distL="0" distR="0" wp14:anchorId="03C7C5A8" wp14:editId="0ADD245B">
                  <wp:extent cx="6003603" cy="4452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2233" cy="464455"/>
                          </a:xfrm>
                          <a:prstGeom prst="rect">
                            <a:avLst/>
                          </a:prstGeom>
                        </pic:spPr>
                      </pic:pic>
                    </a:graphicData>
                  </a:graphic>
                </wp:inline>
              </w:drawing>
            </w:r>
          </w:p>
        </w:tc>
      </w:tr>
      <w:tr w:rsidR="00F25EB6" w:rsidRPr="00F25EB6" w14:paraId="35413151" w14:textId="77777777" w:rsidTr="008467C8">
        <w:tc>
          <w:tcPr>
            <w:tcW w:w="9924" w:type="dxa"/>
          </w:tcPr>
          <w:p w14:paraId="4C9F87A9" w14:textId="77777777" w:rsidR="00F25EB6" w:rsidRPr="00F25EB6" w:rsidRDefault="00F25EB6" w:rsidP="00F25EB6">
            <w:pPr>
              <w:jc w:val="center"/>
              <w:rPr>
                <w:rFonts w:ascii="Arial" w:hAnsi="Arial" w:cs="Arial"/>
                <w:b/>
                <w:sz w:val="24"/>
                <w:szCs w:val="26"/>
              </w:rPr>
            </w:pPr>
            <w:r w:rsidRPr="00F25EB6">
              <w:rPr>
                <w:rFonts w:ascii="Arial" w:hAnsi="Arial" w:cs="Arial"/>
                <w:b/>
                <w:sz w:val="24"/>
                <w:szCs w:val="26"/>
              </w:rPr>
              <w:t>Plateforme interassociative française relative aux politiques internationales sur les drogues</w:t>
            </w:r>
          </w:p>
          <w:p w14:paraId="2B3F44DA" w14:textId="77777777" w:rsidR="00F25EB6" w:rsidRPr="00F25EB6" w:rsidRDefault="00F25EB6">
            <w:pPr>
              <w:rPr>
                <w:rFonts w:ascii="Arial" w:hAnsi="Arial" w:cs="Arial"/>
              </w:rPr>
            </w:pPr>
            <w:bookmarkStart w:id="0" w:name="_GoBack"/>
            <w:bookmarkEnd w:id="0"/>
          </w:p>
        </w:tc>
      </w:tr>
      <w:tr w:rsidR="00F25EB6" w:rsidRPr="00F25EB6" w14:paraId="25DC9A38" w14:textId="77777777" w:rsidTr="008467C8">
        <w:tc>
          <w:tcPr>
            <w:tcW w:w="9924" w:type="dxa"/>
          </w:tcPr>
          <w:p w14:paraId="6FB91BE3" w14:textId="77777777" w:rsidR="00F25EB6" w:rsidRPr="00F25EB6" w:rsidRDefault="00F25EB6" w:rsidP="00193F6F">
            <w:pPr>
              <w:ind w:left="-2485" w:firstLine="2377"/>
              <w:jc w:val="right"/>
              <w:rPr>
                <w:rFonts w:ascii="Arial" w:hAnsi="Arial" w:cs="Arial"/>
                <w:b/>
              </w:rPr>
            </w:pPr>
            <w:r w:rsidRPr="00F25EB6">
              <w:rPr>
                <w:rFonts w:ascii="Arial" w:hAnsi="Arial" w:cs="Arial"/>
                <w:b/>
              </w:rPr>
              <w:t>Communiqué de presse</w:t>
            </w:r>
          </w:p>
          <w:p w14:paraId="072E549D" w14:textId="7819F334" w:rsidR="00F25EB6" w:rsidRDefault="00F25EB6" w:rsidP="00F25EB6">
            <w:pPr>
              <w:jc w:val="right"/>
              <w:rPr>
                <w:rFonts w:ascii="Arial" w:hAnsi="Arial" w:cs="Arial"/>
              </w:rPr>
            </w:pPr>
            <w:r w:rsidRPr="00F25EB6">
              <w:rPr>
                <w:rFonts w:ascii="Arial" w:hAnsi="Arial" w:cs="Arial"/>
              </w:rPr>
              <w:t>N</w:t>
            </w:r>
            <w:r w:rsidRPr="00F25EB6">
              <w:rPr>
                <w:rFonts w:ascii="Arial" w:hAnsi="Arial" w:cs="Arial"/>
              </w:rPr>
              <w:t>ations Unies, Vienne (</w:t>
            </w:r>
            <w:r>
              <w:rPr>
                <w:rFonts w:ascii="Arial" w:hAnsi="Arial" w:cs="Arial"/>
              </w:rPr>
              <w:t>Autriche)</w:t>
            </w:r>
            <w:r w:rsidR="008467C8">
              <w:rPr>
                <w:rFonts w:ascii="Arial" w:hAnsi="Arial" w:cs="Arial"/>
              </w:rPr>
              <w:t xml:space="preserve"> – le </w:t>
            </w:r>
            <w:r w:rsidR="008467C8">
              <w:rPr>
                <w:rFonts w:ascii="Arial" w:hAnsi="Arial" w:cs="Arial"/>
              </w:rPr>
              <w:t>14 mars 2019</w:t>
            </w:r>
          </w:p>
          <w:p w14:paraId="62C0F197" w14:textId="77777777" w:rsidR="008467C8" w:rsidRPr="00F25EB6" w:rsidRDefault="008467C8" w:rsidP="00F25EB6">
            <w:pPr>
              <w:jc w:val="right"/>
              <w:rPr>
                <w:rFonts w:ascii="Arial" w:hAnsi="Arial" w:cs="Arial"/>
              </w:rPr>
            </w:pPr>
          </w:p>
          <w:p w14:paraId="7C9972F8" w14:textId="77777777" w:rsidR="00F25EB6" w:rsidRPr="00F25EB6" w:rsidRDefault="00F25EB6" w:rsidP="006627EB">
            <w:pPr>
              <w:jc w:val="right"/>
              <w:rPr>
                <w:rFonts w:ascii="Arial" w:hAnsi="Arial" w:cs="Arial"/>
                <w:sz w:val="14"/>
              </w:rPr>
            </w:pPr>
          </w:p>
        </w:tc>
      </w:tr>
      <w:tr w:rsidR="006627EB" w:rsidRPr="00F25EB6" w14:paraId="63F163B5" w14:textId="77777777" w:rsidTr="008467C8">
        <w:tc>
          <w:tcPr>
            <w:tcW w:w="9924" w:type="dxa"/>
          </w:tcPr>
          <w:p w14:paraId="730D2B0A" w14:textId="77777777" w:rsidR="00F25EB6" w:rsidRPr="008467C8" w:rsidRDefault="00F25EB6" w:rsidP="00F25EB6">
            <w:pPr>
              <w:spacing w:after="120"/>
              <w:jc w:val="center"/>
              <w:rPr>
                <w:rFonts w:ascii="Arial" w:hAnsi="Arial" w:cs="Arial"/>
                <w:b/>
                <w:color w:val="C00000"/>
                <w:sz w:val="28"/>
                <w:szCs w:val="26"/>
              </w:rPr>
            </w:pPr>
            <w:r w:rsidRPr="008467C8">
              <w:rPr>
                <w:rFonts w:ascii="Arial" w:hAnsi="Arial" w:cs="Arial"/>
                <w:b/>
                <w:color w:val="C00000"/>
                <w:sz w:val="28"/>
                <w:szCs w:val="26"/>
              </w:rPr>
              <w:t xml:space="preserve">DÉCLARATION POLITIQUE DE L’ONU SUR LES DROGUES : </w:t>
            </w:r>
          </w:p>
          <w:p w14:paraId="2ACF0B4D" w14:textId="38EDCEAA" w:rsidR="008A7D43" w:rsidRPr="00F25EB6" w:rsidRDefault="00F25EB6" w:rsidP="00F25EB6">
            <w:pPr>
              <w:spacing w:after="120"/>
              <w:jc w:val="center"/>
              <w:rPr>
                <w:rFonts w:ascii="Arial" w:hAnsi="Arial" w:cs="Arial"/>
                <w:b/>
                <w:color w:val="C00000"/>
                <w:sz w:val="26"/>
                <w:szCs w:val="26"/>
              </w:rPr>
            </w:pPr>
            <w:r w:rsidRPr="008467C8">
              <w:rPr>
                <w:rFonts w:ascii="Arial" w:hAnsi="Arial" w:cs="Arial"/>
                <w:b/>
                <w:color w:val="C00000"/>
                <w:sz w:val="28"/>
                <w:szCs w:val="26"/>
              </w:rPr>
              <w:t>ENCORE 10 ANS DE PERDUS AVEC LA GUERRE AUX DROGUES !</w:t>
            </w:r>
          </w:p>
        </w:tc>
      </w:tr>
      <w:tr w:rsidR="00864715" w:rsidRPr="00F25EB6" w14:paraId="06905273" w14:textId="77777777" w:rsidTr="008467C8">
        <w:trPr>
          <w:trHeight w:val="63"/>
        </w:trPr>
        <w:tc>
          <w:tcPr>
            <w:tcW w:w="9924" w:type="dxa"/>
          </w:tcPr>
          <w:p w14:paraId="53724B56" w14:textId="77777777" w:rsidR="008467C8" w:rsidRDefault="008467C8" w:rsidP="00F25EB6">
            <w:pPr>
              <w:spacing w:after="120"/>
              <w:jc w:val="both"/>
              <w:rPr>
                <w:rFonts w:ascii="Arial" w:hAnsi="Arial" w:cs="Arial"/>
                <w:b/>
                <w:sz w:val="20"/>
              </w:rPr>
            </w:pPr>
          </w:p>
          <w:p w14:paraId="45FD0C3C" w14:textId="77777777" w:rsidR="00F25EB6" w:rsidRPr="008467C8" w:rsidRDefault="00F25EB6" w:rsidP="00F25EB6">
            <w:pPr>
              <w:spacing w:after="120"/>
              <w:jc w:val="both"/>
              <w:rPr>
                <w:rFonts w:ascii="Arial" w:hAnsi="Arial" w:cs="Arial"/>
                <w:b/>
                <w:color w:val="212121"/>
                <w:sz w:val="20"/>
              </w:rPr>
            </w:pPr>
            <w:r w:rsidRPr="008467C8">
              <w:rPr>
                <w:rFonts w:ascii="Arial" w:hAnsi="Arial" w:cs="Arial"/>
                <w:b/>
                <w:sz w:val="20"/>
              </w:rPr>
              <w:t>Ce jour, en ouverture de la 62</w:t>
            </w:r>
            <w:r w:rsidRPr="008467C8">
              <w:rPr>
                <w:rFonts w:ascii="Arial" w:hAnsi="Arial" w:cs="Arial"/>
                <w:b/>
                <w:sz w:val="20"/>
                <w:vertAlign w:val="superscript"/>
              </w:rPr>
              <w:t>e</w:t>
            </w:r>
            <w:r w:rsidRPr="008467C8">
              <w:rPr>
                <w:rFonts w:ascii="Arial" w:hAnsi="Arial" w:cs="Arial"/>
                <w:b/>
                <w:sz w:val="20"/>
              </w:rPr>
              <w:t xml:space="preserve"> Commission des stupéfiants (CND), les États membres de l’ONU ont adopté une Déclaration politique qui entend « </w:t>
            </w:r>
            <w:r w:rsidRPr="008467C8">
              <w:rPr>
                <w:rFonts w:ascii="Arial" w:hAnsi="Arial" w:cs="Arial"/>
                <w:b/>
                <w:color w:val="212121"/>
                <w:sz w:val="20"/>
              </w:rPr>
              <w:t>accélérer la mise en œuvre de [leurs] engagements communs pour lutter contre le problème mondial de la drogue » pour les dix ans à venir. Elle poursuit la voie d’une politique non seulement vouée à l’échec, mais dont les conséquences sont désastreuses.</w:t>
            </w:r>
          </w:p>
          <w:p w14:paraId="68B1C2F0" w14:textId="67C57A30" w:rsidR="006D00B8" w:rsidRPr="008467C8" w:rsidRDefault="00F25EB6" w:rsidP="00D76779">
            <w:pPr>
              <w:jc w:val="both"/>
              <w:rPr>
                <w:rFonts w:ascii="Arial" w:hAnsi="Arial" w:cs="Arial"/>
                <w:sz w:val="20"/>
              </w:rPr>
            </w:pPr>
            <w:r w:rsidRPr="008467C8">
              <w:rPr>
                <w:rFonts w:ascii="Arial" w:hAnsi="Arial" w:cs="Arial"/>
                <w:sz w:val="20"/>
              </w:rPr>
              <w:t>En réitérant les mêmes mesures et objectifs, sans évaluation préalable des impacts, de la « guerre aux drogues » conduite depuis 50 ans, la communauté internationale a donc choisi d’occulter les effets dévastateurs de leur stratégie commune. Au cours de la dernière décennie :</w:t>
            </w:r>
          </w:p>
        </w:tc>
      </w:tr>
      <w:tr w:rsidR="008B13CB" w:rsidRPr="00F25EB6" w14:paraId="287312F3" w14:textId="77777777" w:rsidTr="008467C8">
        <w:trPr>
          <w:trHeight w:val="63"/>
        </w:trPr>
        <w:tc>
          <w:tcPr>
            <w:tcW w:w="9924" w:type="dxa"/>
          </w:tcPr>
          <w:p w14:paraId="36E81419" w14:textId="192F86CA" w:rsidR="00F25EB6" w:rsidRPr="008467C8" w:rsidRDefault="00F25EB6" w:rsidP="00F25EB6">
            <w:pPr>
              <w:numPr>
                <w:ilvl w:val="0"/>
                <w:numId w:val="6"/>
              </w:numPr>
              <w:spacing w:line="276" w:lineRule="auto"/>
              <w:jc w:val="both"/>
              <w:rPr>
                <w:rFonts w:ascii="Arial" w:hAnsi="Arial" w:cs="Arial"/>
                <w:sz w:val="20"/>
              </w:rPr>
            </w:pPr>
            <w:r w:rsidRPr="008467C8">
              <w:rPr>
                <w:rFonts w:ascii="Arial" w:hAnsi="Arial" w:cs="Arial"/>
                <w:sz w:val="20"/>
              </w:rPr>
              <w:t>Un demi-million de morts par an d’overdoses et de maladies évitables (VIH, hépatite C, tuberculose) ;</w:t>
            </w:r>
          </w:p>
          <w:p w14:paraId="0057E1A5" w14:textId="77777777" w:rsidR="00F25EB6" w:rsidRPr="008467C8" w:rsidRDefault="00F25EB6" w:rsidP="00F25EB6">
            <w:pPr>
              <w:numPr>
                <w:ilvl w:val="0"/>
                <w:numId w:val="6"/>
              </w:numPr>
              <w:spacing w:line="276" w:lineRule="auto"/>
              <w:jc w:val="both"/>
              <w:rPr>
                <w:rFonts w:ascii="Arial" w:hAnsi="Arial" w:cs="Arial"/>
                <w:sz w:val="20"/>
              </w:rPr>
            </w:pPr>
            <w:r w:rsidRPr="008467C8">
              <w:rPr>
                <w:rFonts w:ascii="Arial" w:hAnsi="Arial" w:cs="Arial"/>
                <w:sz w:val="20"/>
              </w:rPr>
              <w:t xml:space="preserve">Des violations systématiques des droits humains : emprisonnement massif, 4000 peines de mort, des dizaines de milliers d’exécutions extrajudiciaires et d’assassinats </w:t>
            </w:r>
          </w:p>
          <w:p w14:paraId="46783342" w14:textId="77777777" w:rsidR="00F25EB6" w:rsidRPr="008467C8" w:rsidRDefault="00F25EB6" w:rsidP="00F25EB6">
            <w:pPr>
              <w:numPr>
                <w:ilvl w:val="0"/>
                <w:numId w:val="6"/>
              </w:numPr>
              <w:spacing w:line="276" w:lineRule="auto"/>
              <w:jc w:val="both"/>
              <w:rPr>
                <w:rFonts w:ascii="Arial" w:hAnsi="Arial" w:cs="Arial"/>
                <w:sz w:val="20"/>
              </w:rPr>
            </w:pPr>
            <w:r w:rsidRPr="008467C8">
              <w:rPr>
                <w:rFonts w:ascii="Arial" w:hAnsi="Arial" w:cs="Arial"/>
                <w:sz w:val="20"/>
              </w:rPr>
              <w:t>Une demande en hausse continue (+17% pour le cannabis, +33% pour l’ecstasy, +16% pour les opioïdes) ;</w:t>
            </w:r>
          </w:p>
          <w:p w14:paraId="0C534D4A" w14:textId="77777777" w:rsidR="00F25EB6" w:rsidRPr="008467C8" w:rsidRDefault="00F25EB6" w:rsidP="00F25EB6">
            <w:pPr>
              <w:numPr>
                <w:ilvl w:val="0"/>
                <w:numId w:val="6"/>
              </w:numPr>
              <w:spacing w:line="276" w:lineRule="auto"/>
              <w:jc w:val="both"/>
              <w:rPr>
                <w:rFonts w:ascii="Arial" w:hAnsi="Arial" w:cs="Arial"/>
                <w:sz w:val="20"/>
              </w:rPr>
            </w:pPr>
            <w:r w:rsidRPr="008467C8">
              <w:rPr>
                <w:rFonts w:ascii="Arial" w:hAnsi="Arial" w:cs="Arial"/>
                <w:sz w:val="20"/>
              </w:rPr>
              <w:t>Une production en pleine croissance (+125% pour l’opium, +30% pour la coca) ;</w:t>
            </w:r>
          </w:p>
          <w:p w14:paraId="2EF92E54" w14:textId="24DD1F83" w:rsidR="008B13CB" w:rsidRPr="008467C8" w:rsidRDefault="00F25EB6" w:rsidP="00F25EB6">
            <w:pPr>
              <w:numPr>
                <w:ilvl w:val="0"/>
                <w:numId w:val="6"/>
              </w:numPr>
              <w:spacing w:after="120" w:line="276" w:lineRule="auto"/>
              <w:jc w:val="both"/>
              <w:rPr>
                <w:rFonts w:ascii="Arial" w:hAnsi="Arial" w:cs="Arial"/>
                <w:sz w:val="20"/>
              </w:rPr>
            </w:pPr>
            <w:r w:rsidRPr="008467C8">
              <w:rPr>
                <w:rFonts w:ascii="Arial" w:hAnsi="Arial" w:cs="Arial"/>
                <w:sz w:val="20"/>
              </w:rPr>
              <w:t>Un crime organisé florissant : autour de 500 milliards de dollars de chiffre d’affaires par an, dont seulement 1% de fonds saisis</w:t>
            </w:r>
            <w:r w:rsidRPr="008467C8">
              <w:rPr>
                <w:rFonts w:ascii="Arial" w:hAnsi="Arial" w:cs="Arial"/>
                <w:sz w:val="20"/>
                <w:vertAlign w:val="superscript"/>
              </w:rPr>
              <w:t>[1]</w:t>
            </w:r>
            <w:r w:rsidRPr="008467C8">
              <w:rPr>
                <w:rFonts w:ascii="Arial" w:hAnsi="Arial" w:cs="Arial"/>
                <w:sz w:val="20"/>
              </w:rPr>
              <w:t xml:space="preserve"> alors que plus de 100 milliards de dollars sont dépensés pour combattre le marché illégal.</w:t>
            </w:r>
          </w:p>
        </w:tc>
      </w:tr>
      <w:tr w:rsidR="00F25EB6" w:rsidRPr="00F25EB6" w14:paraId="4C3BF6D7" w14:textId="77777777" w:rsidTr="008467C8">
        <w:trPr>
          <w:trHeight w:val="63"/>
        </w:trPr>
        <w:tc>
          <w:tcPr>
            <w:tcW w:w="9924" w:type="dxa"/>
          </w:tcPr>
          <w:p w14:paraId="3C5C9F95" w14:textId="77777777" w:rsidR="00F25EB6" w:rsidRPr="008467C8" w:rsidRDefault="00F25EB6" w:rsidP="00F25EB6">
            <w:pPr>
              <w:jc w:val="both"/>
              <w:rPr>
                <w:rFonts w:ascii="Arial" w:hAnsi="Arial" w:cs="Arial"/>
                <w:sz w:val="20"/>
              </w:rPr>
            </w:pPr>
            <w:r w:rsidRPr="008467C8">
              <w:rPr>
                <w:rFonts w:ascii="Arial" w:hAnsi="Arial" w:cs="Arial"/>
                <w:sz w:val="20"/>
              </w:rPr>
              <w:t>Il y a dix ans, l'ancien directeur exécutif de l'ONUDC</w:t>
            </w:r>
            <w:r w:rsidRPr="008467C8">
              <w:rPr>
                <w:rFonts w:ascii="Arial" w:hAnsi="Arial" w:cs="Arial"/>
                <w:sz w:val="20"/>
                <w:vertAlign w:val="superscript"/>
              </w:rPr>
              <w:t>[2]</w:t>
            </w:r>
            <w:r w:rsidRPr="008467C8">
              <w:rPr>
                <w:rFonts w:ascii="Arial" w:hAnsi="Arial" w:cs="Arial"/>
                <w:sz w:val="20"/>
              </w:rPr>
              <w:t xml:space="preserve"> dénonçait déjà les impacts négatifs de la politique antidrogue menée à l’échelle mondiale. La Déclaration adoptée aujourd’hui perpétue la politique qu’il critiquait alors, avec justesse. Décade après décade, les mêmes causes produisant les mêmes effets, il est évident que cette stratégie ne fait qu’aggraver les effets délétères. </w:t>
            </w:r>
          </w:p>
          <w:p w14:paraId="4862F1DE" w14:textId="77777777" w:rsidR="00F25EB6" w:rsidRPr="008467C8" w:rsidRDefault="00F25EB6" w:rsidP="00F25EB6">
            <w:pPr>
              <w:jc w:val="both"/>
              <w:rPr>
                <w:rFonts w:ascii="Arial" w:hAnsi="Arial" w:cs="Arial"/>
                <w:sz w:val="20"/>
              </w:rPr>
            </w:pPr>
          </w:p>
          <w:p w14:paraId="16E5AA37" w14:textId="77777777" w:rsidR="00F25EB6" w:rsidRPr="008467C8" w:rsidRDefault="00F25EB6" w:rsidP="00F25EB6">
            <w:pPr>
              <w:jc w:val="both"/>
              <w:rPr>
                <w:rFonts w:ascii="Arial" w:hAnsi="Arial" w:cs="Arial"/>
                <w:color w:val="212121"/>
                <w:sz w:val="20"/>
              </w:rPr>
            </w:pPr>
            <w:r w:rsidRPr="008467C8">
              <w:rPr>
                <w:rFonts w:ascii="Arial" w:hAnsi="Arial" w:cs="Arial"/>
                <w:color w:val="212121"/>
                <w:sz w:val="20"/>
              </w:rPr>
              <w:t>Néanmoins, la plateforme interassociative salue l'inclusion d’objectifs axés sur l'amélioration de la disponibilité des médicaments sous contrôle, la promotion des alternatives à l’emprisonnement pour usage, ainsi que l'amélioration de l'accès aux services de réduction des risques.</w:t>
            </w:r>
          </w:p>
          <w:p w14:paraId="03BFCE49" w14:textId="77777777" w:rsidR="00F25EB6" w:rsidRPr="008467C8" w:rsidRDefault="00F25EB6" w:rsidP="00F25EB6">
            <w:pPr>
              <w:jc w:val="both"/>
              <w:rPr>
                <w:rFonts w:ascii="Arial" w:hAnsi="Arial" w:cs="Arial"/>
                <w:color w:val="212121"/>
                <w:sz w:val="20"/>
              </w:rPr>
            </w:pPr>
          </w:p>
          <w:p w14:paraId="705972E0" w14:textId="77777777" w:rsidR="00F25EB6" w:rsidRPr="008467C8" w:rsidRDefault="00F25EB6" w:rsidP="00F25EB6">
            <w:pPr>
              <w:jc w:val="both"/>
              <w:rPr>
                <w:rFonts w:ascii="Arial" w:hAnsi="Arial" w:cs="Arial"/>
                <w:sz w:val="20"/>
              </w:rPr>
            </w:pPr>
            <w:r w:rsidRPr="008467C8">
              <w:rPr>
                <w:rFonts w:ascii="Arial" w:hAnsi="Arial" w:cs="Arial"/>
                <w:color w:val="212121"/>
                <w:sz w:val="20"/>
              </w:rPr>
              <w:t xml:space="preserve">Par ailleurs, si nous nous félicitons de l'inclusion, dans la Déclaration, de références aux obligations en matière de droits humains et aux objectifs du développement durable, </w:t>
            </w:r>
            <w:r w:rsidRPr="008467C8">
              <w:rPr>
                <w:rFonts w:ascii="Arial" w:hAnsi="Arial" w:cs="Arial"/>
                <w:sz w:val="20"/>
              </w:rPr>
              <w:t>nous regrettons le fait que la Déclaration n'inclue pas explicitement un objectif visant à réduire les violations des droits humains commises au nom du contrôle des drogues. Cela constitue une grave omission alors que les mesures répressives fortes sont réitérées, dans l’objectif irréaliste d’atteindre “un monde exempt d’abus de drogues”.</w:t>
            </w:r>
          </w:p>
          <w:p w14:paraId="3298E998" w14:textId="77777777" w:rsidR="00F25EB6" w:rsidRPr="008467C8" w:rsidRDefault="00F25EB6" w:rsidP="00F25EB6">
            <w:pPr>
              <w:jc w:val="both"/>
              <w:rPr>
                <w:rFonts w:ascii="Arial" w:hAnsi="Arial" w:cs="Arial"/>
                <w:sz w:val="20"/>
              </w:rPr>
            </w:pPr>
          </w:p>
          <w:p w14:paraId="2F464D8D" w14:textId="77777777" w:rsidR="00F25EB6" w:rsidRPr="008467C8" w:rsidRDefault="00F25EB6" w:rsidP="00F25EB6">
            <w:pPr>
              <w:jc w:val="both"/>
              <w:rPr>
                <w:rFonts w:ascii="Arial" w:hAnsi="Arial" w:cs="Arial"/>
                <w:sz w:val="20"/>
              </w:rPr>
            </w:pPr>
            <w:r w:rsidRPr="008467C8">
              <w:rPr>
                <w:rFonts w:ascii="Arial" w:hAnsi="Arial" w:cs="Arial"/>
                <w:sz w:val="20"/>
              </w:rPr>
              <w:t>Cette approche nuit aux missions de promotion de la paix et des droits humains énoncés dans la Charte des Nations Unies, aux engagements pris en matière de santé et de protection, et aux objectifs du développement durable.</w:t>
            </w:r>
          </w:p>
          <w:p w14:paraId="3719F230" w14:textId="77777777" w:rsidR="00F25EB6" w:rsidRPr="008467C8" w:rsidRDefault="00F25EB6" w:rsidP="00F25EB6">
            <w:pPr>
              <w:jc w:val="both"/>
              <w:rPr>
                <w:rFonts w:ascii="Arial" w:hAnsi="Arial" w:cs="Arial"/>
                <w:color w:val="212121"/>
                <w:sz w:val="20"/>
              </w:rPr>
            </w:pPr>
          </w:p>
          <w:p w14:paraId="796CFEB7" w14:textId="77777777" w:rsidR="00F25EB6" w:rsidRPr="008467C8" w:rsidRDefault="00F25EB6" w:rsidP="00F25EB6">
            <w:pPr>
              <w:spacing w:after="120"/>
              <w:jc w:val="both"/>
              <w:rPr>
                <w:rFonts w:ascii="Arial" w:hAnsi="Arial" w:cs="Arial"/>
                <w:sz w:val="20"/>
              </w:rPr>
            </w:pPr>
            <w:r w:rsidRPr="008467C8">
              <w:rPr>
                <w:rFonts w:ascii="Arial" w:hAnsi="Arial" w:cs="Arial"/>
                <w:sz w:val="20"/>
              </w:rPr>
              <w:t>Une autre politique internationale est possible, et le monde ne peut attendre la date cible de 2029 annoncée dans la Déclaration pour que les gouvernements changent de cap et rendent des comptes. Le monde ne peut se permettre une nouvelle décennie de répression et donc d’échecs - prévisibles - et de conséquences délétères sur les personnes et communautés concernées.</w:t>
            </w:r>
          </w:p>
          <w:p w14:paraId="74BD6649" w14:textId="77777777" w:rsidR="00F25EB6" w:rsidRPr="008467C8" w:rsidRDefault="00F25EB6" w:rsidP="00F25EB6">
            <w:pPr>
              <w:rPr>
                <w:rFonts w:ascii="Arial" w:hAnsi="Arial" w:cs="Arial"/>
                <w:i/>
                <w:sz w:val="20"/>
              </w:rPr>
            </w:pPr>
            <w:r w:rsidRPr="008467C8">
              <w:rPr>
                <w:rFonts w:ascii="Arial" w:eastAsia="Calibri" w:hAnsi="Arial" w:cs="Arial"/>
                <w:sz w:val="20"/>
                <w:szCs w:val="20"/>
                <w:vertAlign w:val="superscript"/>
              </w:rPr>
              <w:t>[1]</w:t>
            </w:r>
            <w:r w:rsidRPr="008467C8">
              <w:rPr>
                <w:rFonts w:ascii="Arial" w:hAnsi="Arial" w:cs="Arial"/>
                <w:sz w:val="20"/>
              </w:rPr>
              <w:t xml:space="preserve"> Voir le rapport de la société civile élaboré par IDPC : </w:t>
            </w:r>
            <w:r w:rsidRPr="008467C8">
              <w:rPr>
                <w:rFonts w:ascii="Arial" w:hAnsi="Arial" w:cs="Arial"/>
                <w:i/>
                <w:sz w:val="20"/>
              </w:rPr>
              <w:t>Taking stock: A decade of drug policy</w:t>
            </w:r>
          </w:p>
          <w:p w14:paraId="3B0865F3" w14:textId="2034F455" w:rsidR="00F25EB6" w:rsidRPr="008467C8" w:rsidRDefault="00F25EB6" w:rsidP="00F25EB6">
            <w:pPr>
              <w:rPr>
                <w:rFonts w:ascii="Arial" w:hAnsi="Arial" w:cs="Arial"/>
                <w:sz w:val="20"/>
              </w:rPr>
            </w:pPr>
            <w:r w:rsidRPr="008467C8">
              <w:rPr>
                <w:rFonts w:ascii="Arial" w:eastAsia="Calibri" w:hAnsi="Arial" w:cs="Arial"/>
                <w:sz w:val="20"/>
                <w:szCs w:val="20"/>
                <w:vertAlign w:val="superscript"/>
              </w:rPr>
              <w:t>[2]</w:t>
            </w:r>
            <w:r w:rsidRPr="008467C8">
              <w:rPr>
                <w:rFonts w:ascii="Arial" w:hAnsi="Arial" w:cs="Arial"/>
                <w:sz w:val="20"/>
              </w:rPr>
              <w:t xml:space="preserve"> </w:t>
            </w:r>
            <w:r w:rsidRPr="008467C8">
              <w:rPr>
                <w:rFonts w:ascii="Arial" w:hAnsi="Arial" w:cs="Arial"/>
                <w:sz w:val="20"/>
                <w:highlight w:val="white"/>
              </w:rPr>
              <w:t xml:space="preserve">Office des Nations unies contre la drogue et le crime, World Drug Report 2018. </w:t>
            </w:r>
          </w:p>
        </w:tc>
      </w:tr>
      <w:tr w:rsidR="00F25EB6" w:rsidRPr="00F25EB6" w14:paraId="7D8A43EC" w14:textId="77777777" w:rsidTr="008467C8">
        <w:trPr>
          <w:trHeight w:val="63"/>
        </w:trPr>
        <w:tc>
          <w:tcPr>
            <w:tcW w:w="9924" w:type="dxa"/>
          </w:tcPr>
          <w:p w14:paraId="391BE0C2" w14:textId="77777777" w:rsidR="00F25EB6" w:rsidRPr="00F25EB6" w:rsidRDefault="00F25EB6" w:rsidP="008A7D43">
            <w:pPr>
              <w:jc w:val="both"/>
              <w:rPr>
                <w:rFonts w:ascii="Arial" w:hAnsi="Arial" w:cs="Arial"/>
                <w:b/>
                <w:sz w:val="20"/>
                <w:szCs w:val="20"/>
              </w:rPr>
            </w:pPr>
          </w:p>
        </w:tc>
      </w:tr>
      <w:tr w:rsidR="006627EB" w:rsidRPr="00F25EB6" w14:paraId="2873B9D0" w14:textId="77777777" w:rsidTr="008467C8">
        <w:tc>
          <w:tcPr>
            <w:tcW w:w="9924" w:type="dxa"/>
          </w:tcPr>
          <w:p w14:paraId="35A49495" w14:textId="77777777" w:rsidR="00F25EB6" w:rsidRPr="008467C8" w:rsidRDefault="00F25EB6" w:rsidP="00F25EB6">
            <w:pPr>
              <w:spacing w:after="120"/>
              <w:rPr>
                <w:rFonts w:ascii="Arial" w:hAnsi="Arial" w:cs="Arial"/>
                <w:b/>
                <w:color w:val="C00000"/>
                <w:sz w:val="18"/>
              </w:rPr>
            </w:pPr>
            <w:r w:rsidRPr="008467C8">
              <w:rPr>
                <w:rFonts w:ascii="Arial" w:hAnsi="Arial" w:cs="Arial"/>
                <w:b/>
                <w:color w:val="C00000"/>
                <w:sz w:val="18"/>
              </w:rPr>
              <w:lastRenderedPageBreak/>
              <w:t>À propos de la plateforme</w:t>
            </w:r>
          </w:p>
          <w:p w14:paraId="05E4FAD0" w14:textId="77777777" w:rsidR="00F25EB6" w:rsidRPr="008467C8" w:rsidRDefault="00F25EB6" w:rsidP="00F25EB6">
            <w:pPr>
              <w:spacing w:after="120"/>
              <w:jc w:val="both"/>
              <w:rPr>
                <w:rFonts w:ascii="Arial" w:hAnsi="Arial" w:cs="Arial"/>
                <w:sz w:val="18"/>
              </w:rPr>
            </w:pPr>
            <w:r w:rsidRPr="008467C8">
              <w:rPr>
                <w:rFonts w:ascii="Arial" w:hAnsi="Arial" w:cs="Arial"/>
                <w:sz w:val="18"/>
              </w:rPr>
              <w:t>La plateforme interassociative française relative aux politiques internationales sur les drogues existe depuis 2014 et regroupe 11 associations engagées dans le domaine des politiques des drogues et de la Réduction des Dommages et des Risques liés aux usages de drogues. Il s’agit de : AIDES, ASUD, FAAAT think &amp; do tank, la Fédération Addiction, Médecins du Monde, NORML France, PsychoActif, SAFE, SOS Hépatites et IDPC.</w:t>
            </w:r>
          </w:p>
          <w:p w14:paraId="3C76B981" w14:textId="77777777" w:rsidR="00F25EB6" w:rsidRPr="008467C8" w:rsidRDefault="00F25EB6" w:rsidP="00F25EB6">
            <w:pPr>
              <w:jc w:val="both"/>
              <w:rPr>
                <w:rFonts w:ascii="Arial" w:hAnsi="Arial" w:cs="Arial"/>
                <w:sz w:val="18"/>
              </w:rPr>
            </w:pPr>
          </w:p>
          <w:p w14:paraId="31B76FB1" w14:textId="77777777" w:rsidR="00F25EB6" w:rsidRPr="008467C8" w:rsidRDefault="00F25EB6" w:rsidP="00F25EB6">
            <w:pPr>
              <w:jc w:val="both"/>
              <w:rPr>
                <w:rFonts w:ascii="Arial" w:hAnsi="Arial" w:cs="Arial"/>
                <w:sz w:val="18"/>
              </w:rPr>
            </w:pPr>
            <w:r w:rsidRPr="008467C8">
              <w:rPr>
                <w:rFonts w:ascii="Arial" w:hAnsi="Arial" w:cs="Arial"/>
                <w:sz w:val="18"/>
              </w:rPr>
              <w:t>Nos associations ont des profils différents : autosupport, addictologie, services de réduction des risques en France et à l’international, plaidoyer, recherche, programmes internationaux, etc.</w:t>
            </w:r>
          </w:p>
          <w:p w14:paraId="6544AD5E" w14:textId="77777777" w:rsidR="00F25EB6" w:rsidRPr="008467C8" w:rsidRDefault="00F25EB6" w:rsidP="00F25EB6">
            <w:pPr>
              <w:jc w:val="both"/>
              <w:rPr>
                <w:rFonts w:ascii="Arial" w:hAnsi="Arial" w:cs="Arial"/>
                <w:b/>
                <w:color w:val="C00000"/>
                <w:sz w:val="18"/>
              </w:rPr>
            </w:pPr>
            <w:r w:rsidRPr="008467C8">
              <w:rPr>
                <w:rFonts w:ascii="Arial" w:hAnsi="Arial" w:cs="Arial"/>
                <w:sz w:val="18"/>
              </w:rPr>
              <w:t xml:space="preserve">La plateforme travaille avec le gouvernement français ; elle fait valoir son expertise et sa connaissance de terrain et entend prendre part aux négociations internationales, </w:t>
            </w:r>
            <w:r w:rsidRPr="008467C8">
              <w:rPr>
                <w:rFonts w:ascii="Arial" w:hAnsi="Arial" w:cs="Arial"/>
                <w:sz w:val="18"/>
                <w:highlight w:val="white"/>
              </w:rPr>
              <w:t>pour une réforme des politiques en matière de drogues qui favorisent l'inclusion sociale et le respect des droits humains fondamentaux, par la régulation des marchés et la décriminalisation des usages au niveau mondial.</w:t>
            </w:r>
            <w:r w:rsidRPr="008467C8">
              <w:rPr>
                <w:rFonts w:ascii="Arial" w:hAnsi="Arial" w:cs="Arial"/>
                <w:b/>
                <w:color w:val="C00000"/>
                <w:sz w:val="18"/>
              </w:rPr>
              <w:t xml:space="preserve"> </w:t>
            </w:r>
          </w:p>
          <w:p w14:paraId="147D5D5F" w14:textId="16BBE7B6" w:rsidR="006627EB" w:rsidRPr="00F25EB6" w:rsidRDefault="006627EB" w:rsidP="00D96432">
            <w:pPr>
              <w:jc w:val="both"/>
              <w:rPr>
                <w:rFonts w:ascii="Arial" w:hAnsi="Arial" w:cs="Arial"/>
                <w:i/>
                <w:sz w:val="18"/>
              </w:rPr>
            </w:pPr>
          </w:p>
        </w:tc>
      </w:tr>
      <w:tr w:rsidR="00F25EB6" w:rsidRPr="00F25EB6" w14:paraId="717101AF" w14:textId="77777777" w:rsidTr="008467C8">
        <w:tc>
          <w:tcPr>
            <w:tcW w:w="9924" w:type="dxa"/>
          </w:tcPr>
          <w:p w14:paraId="5E1D0463" w14:textId="77777777" w:rsidR="00F25EB6" w:rsidRPr="00F25EB6" w:rsidRDefault="00F25EB6" w:rsidP="00F25EB6">
            <w:pPr>
              <w:spacing w:after="120"/>
              <w:rPr>
                <w:rFonts w:ascii="Arial" w:hAnsi="Arial" w:cs="Arial"/>
                <w:b/>
                <w:color w:val="C00000"/>
              </w:rPr>
            </w:pPr>
            <w:r w:rsidRPr="00F25EB6">
              <w:rPr>
                <w:rFonts w:ascii="Arial" w:hAnsi="Arial" w:cs="Arial"/>
                <w:b/>
                <w:color w:val="C00000"/>
              </w:rPr>
              <w:t>Contacts presse - présents·es à Vienne</w:t>
            </w:r>
          </w:p>
          <w:p w14:paraId="1A3E248E" w14:textId="77777777" w:rsidR="00F25EB6" w:rsidRPr="00F25EB6" w:rsidRDefault="00F25EB6" w:rsidP="00F25EB6">
            <w:pPr>
              <w:spacing w:after="120"/>
              <w:rPr>
                <w:rFonts w:ascii="Arial" w:hAnsi="Arial" w:cs="Arial"/>
              </w:rPr>
            </w:pPr>
            <w:r w:rsidRPr="00F25EB6">
              <w:rPr>
                <w:rFonts w:ascii="Arial" w:hAnsi="Arial" w:cs="Arial"/>
                <w:b/>
              </w:rPr>
              <w:t xml:space="preserve">Pour AIDES, </w:t>
            </w:r>
            <w:r w:rsidRPr="00F25EB6">
              <w:rPr>
                <w:rFonts w:ascii="Arial" w:hAnsi="Arial" w:cs="Arial"/>
              </w:rPr>
              <w:t>Enzo Poultreniez, +33 6 63 28 90 64</w:t>
            </w:r>
          </w:p>
          <w:p w14:paraId="5D0D2637" w14:textId="77777777" w:rsidR="00F25EB6" w:rsidRPr="00F25EB6" w:rsidRDefault="00F25EB6" w:rsidP="00F25EB6">
            <w:pPr>
              <w:spacing w:after="120"/>
              <w:rPr>
                <w:rFonts w:ascii="Arial" w:hAnsi="Arial" w:cs="Arial"/>
              </w:rPr>
            </w:pPr>
            <w:r w:rsidRPr="00F25EB6">
              <w:rPr>
                <w:rFonts w:ascii="Arial" w:hAnsi="Arial" w:cs="Arial"/>
                <w:b/>
              </w:rPr>
              <w:t xml:space="preserve">Pour le think tank FAAAT, </w:t>
            </w:r>
            <w:r w:rsidRPr="00F25EB6">
              <w:rPr>
                <w:rFonts w:ascii="Arial" w:hAnsi="Arial" w:cs="Arial"/>
              </w:rPr>
              <w:t>Farid Ghehiouèche, +33 7 51 35 02 34</w:t>
            </w:r>
          </w:p>
          <w:p w14:paraId="5C7FE285" w14:textId="77777777" w:rsidR="00F25EB6" w:rsidRPr="00F25EB6" w:rsidRDefault="00F25EB6" w:rsidP="00F25EB6">
            <w:pPr>
              <w:spacing w:after="120"/>
              <w:rPr>
                <w:rFonts w:ascii="Arial" w:hAnsi="Arial" w:cs="Arial"/>
              </w:rPr>
            </w:pPr>
            <w:r w:rsidRPr="00F25EB6">
              <w:rPr>
                <w:rFonts w:ascii="Arial" w:hAnsi="Arial" w:cs="Arial"/>
                <w:b/>
              </w:rPr>
              <w:t xml:space="preserve">Pour la Fédération Addiction, </w:t>
            </w:r>
            <w:r w:rsidRPr="00F25EB6">
              <w:rPr>
                <w:rFonts w:ascii="Arial" w:hAnsi="Arial" w:cs="Arial"/>
              </w:rPr>
              <w:t xml:space="preserve">Laurène Collard, +33 6 15 26 35 95 </w:t>
            </w:r>
          </w:p>
          <w:p w14:paraId="312200A7" w14:textId="77777777" w:rsidR="00F25EB6" w:rsidRPr="00F25EB6" w:rsidRDefault="00F25EB6" w:rsidP="00F25EB6">
            <w:pPr>
              <w:spacing w:after="120"/>
              <w:rPr>
                <w:rFonts w:ascii="Arial" w:hAnsi="Arial" w:cs="Arial"/>
              </w:rPr>
            </w:pPr>
            <w:r w:rsidRPr="00F25EB6">
              <w:rPr>
                <w:rFonts w:ascii="Arial" w:hAnsi="Arial" w:cs="Arial"/>
                <w:b/>
              </w:rPr>
              <w:t>Pour Médecins du monde,</w:t>
            </w:r>
            <w:r w:rsidRPr="00F25EB6">
              <w:rPr>
                <w:rFonts w:ascii="Arial" w:hAnsi="Arial" w:cs="Arial"/>
              </w:rPr>
              <w:t xml:space="preserve"> Fanny Mantaux +33 6 09 17 35 59</w:t>
            </w:r>
          </w:p>
          <w:p w14:paraId="20016AF5" w14:textId="4330FFC8" w:rsidR="00F25EB6" w:rsidRPr="00F25EB6" w:rsidRDefault="00F25EB6" w:rsidP="00F25EB6">
            <w:pPr>
              <w:spacing w:after="120"/>
              <w:rPr>
                <w:rFonts w:ascii="Arial" w:hAnsi="Arial" w:cs="Arial"/>
              </w:rPr>
            </w:pPr>
            <w:r w:rsidRPr="00F25EB6">
              <w:rPr>
                <w:rFonts w:ascii="Arial" w:hAnsi="Arial" w:cs="Arial"/>
                <w:b/>
              </w:rPr>
              <w:t xml:space="preserve">Pour NORML France, </w:t>
            </w:r>
            <w:r w:rsidRPr="00F25EB6">
              <w:rPr>
                <w:rFonts w:ascii="Arial" w:hAnsi="Arial" w:cs="Arial"/>
              </w:rPr>
              <w:t>Béchir Bouderbala, +33 6 02 03 95 08</w:t>
            </w:r>
          </w:p>
        </w:tc>
      </w:tr>
    </w:tbl>
    <w:p w14:paraId="1D62AA53" w14:textId="2F574303" w:rsidR="00E27D68" w:rsidRPr="00F25EB6" w:rsidRDefault="00E27D68" w:rsidP="00057283">
      <w:pPr>
        <w:rPr>
          <w:rFonts w:ascii="Arial" w:hAnsi="Arial" w:cs="Arial"/>
        </w:rPr>
      </w:pPr>
    </w:p>
    <w:sectPr w:rsidR="00E27D68" w:rsidRPr="00F25E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712D2" w14:textId="77777777" w:rsidR="007A6F34" w:rsidRDefault="007A6F34" w:rsidP="002D70CB">
      <w:pPr>
        <w:spacing w:after="0" w:line="240" w:lineRule="auto"/>
      </w:pPr>
      <w:r>
        <w:separator/>
      </w:r>
    </w:p>
  </w:endnote>
  <w:endnote w:type="continuationSeparator" w:id="0">
    <w:p w14:paraId="4B71BF5E" w14:textId="77777777" w:rsidR="007A6F34" w:rsidRDefault="007A6F34" w:rsidP="002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5D27" w14:textId="77777777" w:rsidR="007A6F34" w:rsidRDefault="007A6F34" w:rsidP="002D70CB">
      <w:pPr>
        <w:spacing w:after="0" w:line="240" w:lineRule="auto"/>
      </w:pPr>
      <w:r>
        <w:separator/>
      </w:r>
    </w:p>
  </w:footnote>
  <w:footnote w:type="continuationSeparator" w:id="0">
    <w:p w14:paraId="33B7B8B5" w14:textId="77777777" w:rsidR="007A6F34" w:rsidRDefault="007A6F34" w:rsidP="002D7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5E1"/>
    <w:multiLevelType w:val="hybridMultilevel"/>
    <w:tmpl w:val="7A0A5646"/>
    <w:lvl w:ilvl="0" w:tplc="800E193C">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644C9"/>
    <w:multiLevelType w:val="hybridMultilevel"/>
    <w:tmpl w:val="79B45028"/>
    <w:lvl w:ilvl="0" w:tplc="CE181596">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7271E1"/>
    <w:multiLevelType w:val="multilevel"/>
    <w:tmpl w:val="12B4C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FE5278"/>
    <w:multiLevelType w:val="hybridMultilevel"/>
    <w:tmpl w:val="F6B41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B70974"/>
    <w:multiLevelType w:val="hybridMultilevel"/>
    <w:tmpl w:val="D8282904"/>
    <w:lvl w:ilvl="0" w:tplc="A86A8D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3170F1"/>
    <w:multiLevelType w:val="hybridMultilevel"/>
    <w:tmpl w:val="4BC071F8"/>
    <w:lvl w:ilvl="0" w:tplc="176E1C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EB"/>
    <w:rsid w:val="00005391"/>
    <w:rsid w:val="00014EBB"/>
    <w:rsid w:val="00021FA9"/>
    <w:rsid w:val="0003570F"/>
    <w:rsid w:val="00053D2E"/>
    <w:rsid w:val="00057283"/>
    <w:rsid w:val="000767E1"/>
    <w:rsid w:val="000832C1"/>
    <w:rsid w:val="00086EC3"/>
    <w:rsid w:val="000A33B3"/>
    <w:rsid w:val="000A3968"/>
    <w:rsid w:val="000B3DD7"/>
    <w:rsid w:val="000C6A3D"/>
    <w:rsid w:val="000C74EB"/>
    <w:rsid w:val="000D060C"/>
    <w:rsid w:val="000D2AAE"/>
    <w:rsid w:val="000D32B9"/>
    <w:rsid w:val="000D4097"/>
    <w:rsid w:val="000F00DA"/>
    <w:rsid w:val="0011520E"/>
    <w:rsid w:val="0014527D"/>
    <w:rsid w:val="001566C7"/>
    <w:rsid w:val="0018199C"/>
    <w:rsid w:val="0018400D"/>
    <w:rsid w:val="00193F6F"/>
    <w:rsid w:val="00195503"/>
    <w:rsid w:val="00197A88"/>
    <w:rsid w:val="001C3BCB"/>
    <w:rsid w:val="001D6446"/>
    <w:rsid w:val="002239A7"/>
    <w:rsid w:val="00245CD0"/>
    <w:rsid w:val="00277604"/>
    <w:rsid w:val="00291FC2"/>
    <w:rsid w:val="002C23A5"/>
    <w:rsid w:val="002D0673"/>
    <w:rsid w:val="002D70CB"/>
    <w:rsid w:val="0030664E"/>
    <w:rsid w:val="003572DC"/>
    <w:rsid w:val="0035746E"/>
    <w:rsid w:val="00357CCC"/>
    <w:rsid w:val="00374FDF"/>
    <w:rsid w:val="0038641B"/>
    <w:rsid w:val="0039227C"/>
    <w:rsid w:val="003943E0"/>
    <w:rsid w:val="003B3808"/>
    <w:rsid w:val="003C358B"/>
    <w:rsid w:val="003C39DE"/>
    <w:rsid w:val="003D387B"/>
    <w:rsid w:val="003D72BE"/>
    <w:rsid w:val="00400DD0"/>
    <w:rsid w:val="004249A5"/>
    <w:rsid w:val="0043293D"/>
    <w:rsid w:val="004472C7"/>
    <w:rsid w:val="00452522"/>
    <w:rsid w:val="00472431"/>
    <w:rsid w:val="00485AAE"/>
    <w:rsid w:val="0049440D"/>
    <w:rsid w:val="004A09E4"/>
    <w:rsid w:val="004B7741"/>
    <w:rsid w:val="004C0F61"/>
    <w:rsid w:val="004C6F2D"/>
    <w:rsid w:val="004D3DDA"/>
    <w:rsid w:val="004D7129"/>
    <w:rsid w:val="00562470"/>
    <w:rsid w:val="0056615A"/>
    <w:rsid w:val="0058110D"/>
    <w:rsid w:val="00584C69"/>
    <w:rsid w:val="00594519"/>
    <w:rsid w:val="005B454D"/>
    <w:rsid w:val="005D0D9B"/>
    <w:rsid w:val="0061140E"/>
    <w:rsid w:val="00631079"/>
    <w:rsid w:val="0064775B"/>
    <w:rsid w:val="00656AB7"/>
    <w:rsid w:val="00656AC7"/>
    <w:rsid w:val="00660839"/>
    <w:rsid w:val="006627EB"/>
    <w:rsid w:val="00686A18"/>
    <w:rsid w:val="006D00B8"/>
    <w:rsid w:val="006E0DF1"/>
    <w:rsid w:val="006E10C3"/>
    <w:rsid w:val="006F5400"/>
    <w:rsid w:val="006F715E"/>
    <w:rsid w:val="007449ED"/>
    <w:rsid w:val="00746D72"/>
    <w:rsid w:val="007A6F34"/>
    <w:rsid w:val="007C464F"/>
    <w:rsid w:val="007E19D6"/>
    <w:rsid w:val="008147CE"/>
    <w:rsid w:val="00821055"/>
    <w:rsid w:val="00836D1A"/>
    <w:rsid w:val="008467C8"/>
    <w:rsid w:val="00864715"/>
    <w:rsid w:val="00887987"/>
    <w:rsid w:val="00893351"/>
    <w:rsid w:val="008A360B"/>
    <w:rsid w:val="008A3EBF"/>
    <w:rsid w:val="008A7D43"/>
    <w:rsid w:val="008B07C3"/>
    <w:rsid w:val="008B13CB"/>
    <w:rsid w:val="008B190F"/>
    <w:rsid w:val="008D4228"/>
    <w:rsid w:val="008E0DC1"/>
    <w:rsid w:val="008E19BD"/>
    <w:rsid w:val="00904611"/>
    <w:rsid w:val="00913C33"/>
    <w:rsid w:val="0091701E"/>
    <w:rsid w:val="009222D2"/>
    <w:rsid w:val="009231D5"/>
    <w:rsid w:val="0092589C"/>
    <w:rsid w:val="009336F8"/>
    <w:rsid w:val="00944BEF"/>
    <w:rsid w:val="009464DE"/>
    <w:rsid w:val="00947CA1"/>
    <w:rsid w:val="00960923"/>
    <w:rsid w:val="0096768B"/>
    <w:rsid w:val="00977E77"/>
    <w:rsid w:val="00984A4D"/>
    <w:rsid w:val="009A5CB0"/>
    <w:rsid w:val="009B4173"/>
    <w:rsid w:val="009C36D9"/>
    <w:rsid w:val="009C5BD0"/>
    <w:rsid w:val="009E0EF8"/>
    <w:rsid w:val="009E7B17"/>
    <w:rsid w:val="009F5E03"/>
    <w:rsid w:val="00A1720B"/>
    <w:rsid w:val="00A2653C"/>
    <w:rsid w:val="00A33EDC"/>
    <w:rsid w:val="00A3666C"/>
    <w:rsid w:val="00A57861"/>
    <w:rsid w:val="00A64B7B"/>
    <w:rsid w:val="00A70B44"/>
    <w:rsid w:val="00A8719E"/>
    <w:rsid w:val="00A87692"/>
    <w:rsid w:val="00AC258E"/>
    <w:rsid w:val="00AC2FD5"/>
    <w:rsid w:val="00AC4581"/>
    <w:rsid w:val="00AD3D19"/>
    <w:rsid w:val="00AE1B2F"/>
    <w:rsid w:val="00B132AF"/>
    <w:rsid w:val="00B17667"/>
    <w:rsid w:val="00B43EC8"/>
    <w:rsid w:val="00B9060A"/>
    <w:rsid w:val="00B927DC"/>
    <w:rsid w:val="00B942FF"/>
    <w:rsid w:val="00BA382A"/>
    <w:rsid w:val="00BB6BAA"/>
    <w:rsid w:val="00BB7FCE"/>
    <w:rsid w:val="00BC2725"/>
    <w:rsid w:val="00BC6C3F"/>
    <w:rsid w:val="00BD1D59"/>
    <w:rsid w:val="00BD3680"/>
    <w:rsid w:val="00BD4CDA"/>
    <w:rsid w:val="00BD535B"/>
    <w:rsid w:val="00BF126B"/>
    <w:rsid w:val="00C32A1E"/>
    <w:rsid w:val="00C6124C"/>
    <w:rsid w:val="00C67B25"/>
    <w:rsid w:val="00C85000"/>
    <w:rsid w:val="00C969DD"/>
    <w:rsid w:val="00CC6703"/>
    <w:rsid w:val="00CD7B80"/>
    <w:rsid w:val="00CE5679"/>
    <w:rsid w:val="00CF246D"/>
    <w:rsid w:val="00D03699"/>
    <w:rsid w:val="00D0746B"/>
    <w:rsid w:val="00D40285"/>
    <w:rsid w:val="00D419A9"/>
    <w:rsid w:val="00D427DB"/>
    <w:rsid w:val="00D50EC8"/>
    <w:rsid w:val="00D7526C"/>
    <w:rsid w:val="00D76779"/>
    <w:rsid w:val="00D8060A"/>
    <w:rsid w:val="00D96432"/>
    <w:rsid w:val="00DA430E"/>
    <w:rsid w:val="00DB21FF"/>
    <w:rsid w:val="00DD3328"/>
    <w:rsid w:val="00DE44E2"/>
    <w:rsid w:val="00DE614C"/>
    <w:rsid w:val="00DF20BA"/>
    <w:rsid w:val="00DF6219"/>
    <w:rsid w:val="00E27BD8"/>
    <w:rsid w:val="00E27D68"/>
    <w:rsid w:val="00E716ED"/>
    <w:rsid w:val="00ED3E8B"/>
    <w:rsid w:val="00F25EB6"/>
    <w:rsid w:val="00F42D1F"/>
    <w:rsid w:val="00F5495B"/>
    <w:rsid w:val="00F64E03"/>
    <w:rsid w:val="00F661DB"/>
    <w:rsid w:val="00F737F3"/>
    <w:rsid w:val="00F82EED"/>
    <w:rsid w:val="00FB4654"/>
    <w:rsid w:val="00FD00C9"/>
    <w:rsid w:val="00FD7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342"/>
  <w15:chartTrackingRefBased/>
  <w15:docId w15:val="{4C2744F3-52E6-47E8-B768-6B8CFCA6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19D6"/>
    <w:pPr>
      <w:keepNext/>
      <w:keepLines/>
      <w:spacing w:before="100" w:beforeAutospacing="1" w:after="100" w:afterAutospacing="1" w:line="276" w:lineRule="auto"/>
      <w:jc w:val="center"/>
      <w:outlineLvl w:val="0"/>
    </w:pPr>
    <w:rPr>
      <w:rFonts w:ascii="Arial" w:eastAsiaTheme="majorEastAsia" w:hAnsi="Arial" w:cstheme="majorBidi"/>
      <w:b/>
      <w:bCs/>
      <w:caps/>
      <w:color w:val="E60000"/>
      <w:sz w:val="32"/>
      <w:szCs w:val="28"/>
    </w:rPr>
  </w:style>
  <w:style w:type="paragraph" w:styleId="Titre3">
    <w:name w:val="heading 3"/>
    <w:basedOn w:val="Normal"/>
    <w:next w:val="Normal"/>
    <w:link w:val="Titre3Car"/>
    <w:uiPriority w:val="9"/>
    <w:unhideWhenUsed/>
    <w:qFormat/>
    <w:rsid w:val="00662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E19D6"/>
    <w:rPr>
      <w:rFonts w:ascii="Arial" w:eastAsiaTheme="majorEastAsia" w:hAnsi="Arial" w:cstheme="majorBidi"/>
      <w:b/>
      <w:bCs/>
      <w:caps/>
      <w:color w:val="E60000"/>
      <w:sz w:val="32"/>
      <w:szCs w:val="28"/>
    </w:rPr>
  </w:style>
  <w:style w:type="character" w:styleId="lev">
    <w:name w:val="Strong"/>
    <w:basedOn w:val="Policepardfaut"/>
    <w:uiPriority w:val="22"/>
    <w:qFormat/>
    <w:rsid w:val="006627EB"/>
    <w:rPr>
      <w:b/>
      <w:bCs/>
    </w:rPr>
  </w:style>
  <w:style w:type="character" w:styleId="Lienhypertexte">
    <w:name w:val="Hyperlink"/>
    <w:basedOn w:val="Policepardfaut"/>
    <w:uiPriority w:val="99"/>
    <w:unhideWhenUsed/>
    <w:rsid w:val="006627EB"/>
    <w:rPr>
      <w:color w:val="0563C1" w:themeColor="hyperlink"/>
      <w:u w:val="single"/>
    </w:rPr>
  </w:style>
  <w:style w:type="character" w:customStyle="1" w:styleId="Titre3Car">
    <w:name w:val="Titre 3 Car"/>
    <w:basedOn w:val="Policepardfaut"/>
    <w:link w:val="Titre3"/>
    <w:uiPriority w:val="9"/>
    <w:rsid w:val="006627EB"/>
    <w:rPr>
      <w:rFonts w:asciiTheme="majorHAnsi" w:eastAsiaTheme="majorEastAsia" w:hAnsiTheme="majorHAnsi" w:cstheme="majorBidi"/>
      <w:color w:val="1F4D78" w:themeColor="accent1" w:themeShade="7F"/>
      <w:sz w:val="24"/>
      <w:szCs w:val="24"/>
    </w:rPr>
  </w:style>
  <w:style w:type="character" w:customStyle="1" w:styleId="bumpedfont20">
    <w:name w:val="bumpedfont20"/>
    <w:basedOn w:val="Policepardfaut"/>
    <w:rsid w:val="00D96432"/>
  </w:style>
  <w:style w:type="paragraph" w:styleId="Paragraphedeliste">
    <w:name w:val="List Paragraph"/>
    <w:basedOn w:val="Normal"/>
    <w:uiPriority w:val="34"/>
    <w:qFormat/>
    <w:rsid w:val="0035746E"/>
    <w:pPr>
      <w:ind w:left="720"/>
      <w:contextualSpacing/>
    </w:pPr>
  </w:style>
  <w:style w:type="character" w:styleId="Marquedecommentaire">
    <w:name w:val="annotation reference"/>
    <w:basedOn w:val="Policepardfaut"/>
    <w:uiPriority w:val="99"/>
    <w:semiHidden/>
    <w:unhideWhenUsed/>
    <w:rsid w:val="004472C7"/>
    <w:rPr>
      <w:sz w:val="16"/>
      <w:szCs w:val="16"/>
    </w:rPr>
  </w:style>
  <w:style w:type="paragraph" w:styleId="Commentaire">
    <w:name w:val="annotation text"/>
    <w:basedOn w:val="Normal"/>
    <w:link w:val="CommentaireCar"/>
    <w:uiPriority w:val="99"/>
    <w:semiHidden/>
    <w:unhideWhenUsed/>
    <w:rsid w:val="004472C7"/>
    <w:pPr>
      <w:spacing w:line="240" w:lineRule="auto"/>
    </w:pPr>
    <w:rPr>
      <w:sz w:val="20"/>
      <w:szCs w:val="20"/>
    </w:rPr>
  </w:style>
  <w:style w:type="character" w:customStyle="1" w:styleId="CommentaireCar">
    <w:name w:val="Commentaire Car"/>
    <w:basedOn w:val="Policepardfaut"/>
    <w:link w:val="Commentaire"/>
    <w:uiPriority w:val="99"/>
    <w:semiHidden/>
    <w:rsid w:val="004472C7"/>
    <w:rPr>
      <w:sz w:val="20"/>
      <w:szCs w:val="20"/>
    </w:rPr>
  </w:style>
  <w:style w:type="paragraph" w:styleId="Objetducommentaire">
    <w:name w:val="annotation subject"/>
    <w:basedOn w:val="Commentaire"/>
    <w:next w:val="Commentaire"/>
    <w:link w:val="ObjetducommentaireCar"/>
    <w:uiPriority w:val="99"/>
    <w:semiHidden/>
    <w:unhideWhenUsed/>
    <w:rsid w:val="004472C7"/>
    <w:rPr>
      <w:b/>
      <w:bCs/>
    </w:rPr>
  </w:style>
  <w:style w:type="character" w:customStyle="1" w:styleId="ObjetducommentaireCar">
    <w:name w:val="Objet du commentaire Car"/>
    <w:basedOn w:val="CommentaireCar"/>
    <w:link w:val="Objetducommentaire"/>
    <w:uiPriority w:val="99"/>
    <w:semiHidden/>
    <w:rsid w:val="004472C7"/>
    <w:rPr>
      <w:b/>
      <w:bCs/>
      <w:sz w:val="20"/>
      <w:szCs w:val="20"/>
    </w:rPr>
  </w:style>
  <w:style w:type="paragraph" w:styleId="Textedebulles">
    <w:name w:val="Balloon Text"/>
    <w:basedOn w:val="Normal"/>
    <w:link w:val="TextedebullesCar"/>
    <w:uiPriority w:val="99"/>
    <w:semiHidden/>
    <w:unhideWhenUsed/>
    <w:rsid w:val="004472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2C7"/>
    <w:rPr>
      <w:rFonts w:ascii="Segoe UI" w:hAnsi="Segoe UI" w:cs="Segoe UI"/>
      <w:sz w:val="18"/>
      <w:szCs w:val="18"/>
    </w:rPr>
  </w:style>
  <w:style w:type="paragraph" w:styleId="NormalWeb">
    <w:name w:val="Normal (Web)"/>
    <w:basedOn w:val="Normal"/>
    <w:uiPriority w:val="99"/>
    <w:unhideWhenUsed/>
    <w:rsid w:val="00E27D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0832C1"/>
    <w:pPr>
      <w:spacing w:after="0" w:line="240" w:lineRule="auto"/>
    </w:pPr>
  </w:style>
  <w:style w:type="paragraph" w:styleId="Notedebasdepage">
    <w:name w:val="footnote text"/>
    <w:basedOn w:val="Normal"/>
    <w:link w:val="NotedebasdepageCar"/>
    <w:uiPriority w:val="99"/>
    <w:semiHidden/>
    <w:unhideWhenUsed/>
    <w:rsid w:val="002D70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70CB"/>
    <w:rPr>
      <w:sz w:val="20"/>
      <w:szCs w:val="20"/>
    </w:rPr>
  </w:style>
  <w:style w:type="character" w:styleId="Appelnotedebasdep">
    <w:name w:val="footnote reference"/>
    <w:basedOn w:val="Policepardfaut"/>
    <w:uiPriority w:val="99"/>
    <w:semiHidden/>
    <w:unhideWhenUsed/>
    <w:rsid w:val="002D70CB"/>
    <w:rPr>
      <w:vertAlign w:val="superscript"/>
    </w:rPr>
  </w:style>
  <w:style w:type="character" w:styleId="Lienhypertextesuivivisit">
    <w:name w:val="FollowedHyperlink"/>
    <w:basedOn w:val="Policepardfaut"/>
    <w:uiPriority w:val="99"/>
    <w:semiHidden/>
    <w:unhideWhenUsed/>
    <w:rsid w:val="006D0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08052">
      <w:bodyDiv w:val="1"/>
      <w:marLeft w:val="0"/>
      <w:marRight w:val="0"/>
      <w:marTop w:val="0"/>
      <w:marBottom w:val="0"/>
      <w:divBdr>
        <w:top w:val="none" w:sz="0" w:space="0" w:color="auto"/>
        <w:left w:val="none" w:sz="0" w:space="0" w:color="auto"/>
        <w:bottom w:val="none" w:sz="0" w:space="0" w:color="auto"/>
        <w:right w:val="none" w:sz="0" w:space="0" w:color="auto"/>
      </w:divBdr>
    </w:div>
    <w:div w:id="21317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5F44-7FCE-4F9C-B3E4-44064A87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CROULLEBOIS</dc:creator>
  <cp:keywords/>
  <dc:description/>
  <cp:lastModifiedBy>Elody CROULLEBOIS</cp:lastModifiedBy>
  <cp:revision>4</cp:revision>
  <dcterms:created xsi:type="dcterms:W3CDTF">2019-03-14T10:07:00Z</dcterms:created>
  <dcterms:modified xsi:type="dcterms:W3CDTF">2019-03-14T10:15:00Z</dcterms:modified>
</cp:coreProperties>
</file>